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444450" w:rsidP="00444450">
      <w:pPr>
        <w:jc w:val="center"/>
      </w:pPr>
      <w:r>
        <w:t>The Denial of Colonies’ Freedom and Equality</w:t>
      </w:r>
    </w:p>
    <w:p w:rsidR="00444450" w:rsidP="00444450">
      <w:pPr>
        <w:jc w:val="center"/>
      </w:pPr>
      <w:r>
        <w:t>Student’s Name</w:t>
      </w:r>
    </w:p>
    <w:p w:rsidR="00444450" w:rsidP="00444450">
      <w:pPr>
        <w:jc w:val="center"/>
      </w:pPr>
      <w:r>
        <w:t>Institution Affiliation</w:t>
      </w:r>
    </w:p>
    <w:p w:rsidR="00444450" w:rsidP="00444450">
      <w:pPr>
        <w:jc w:val="both"/>
      </w:pPr>
    </w:p>
    <w:p w:rsidR="00444450">
      <w:pPr>
        <w:spacing w:after="200" w:line="276" w:lineRule="auto"/>
      </w:pPr>
      <w:r>
        <w:br w:type="page"/>
      </w:r>
    </w:p>
    <w:p w:rsidR="00523EA9" w:rsidP="00444450">
      <w:pPr>
        <w:ind w:firstLine="720"/>
        <w:jc w:val="both"/>
      </w:pPr>
      <w:r>
        <w:t>The declaration of independence in the United States came with a huge sacrifice from the colonies. The American independence which came on 4</w:t>
      </w:r>
      <w:r w:rsidRPr="00C115FC">
        <w:rPr>
          <w:vertAlign w:val="superscript"/>
        </w:rPr>
        <w:t>th</w:t>
      </w:r>
      <w:r>
        <w:t xml:space="preserve"> July 1776, was a sign of release for the colonies after many years of oppression a war with the British Empire. To ensure that they </w:t>
      </w:r>
      <w:r w:rsidR="003E7434">
        <w:t xml:space="preserve">maintain </w:t>
      </w:r>
      <w:r>
        <w:t>their authority and control over the colonies, Britain initiated a series of activities that denied the colonies freedom and equality</w:t>
      </w:r>
      <w:r w:rsidR="000F3799">
        <w:t xml:space="preserve"> in 1776.</w:t>
      </w:r>
      <w:r>
        <w:t xml:space="preserve"> The British government feared that assuring equality and </w:t>
      </w:r>
      <w:r w:rsidR="00131A48">
        <w:t xml:space="preserve">freedom for </w:t>
      </w:r>
      <w:r w:rsidR="000F3799">
        <w:t>t</w:t>
      </w:r>
      <w:r w:rsidR="00131A48">
        <w:t>he colonies would be empowering them to fight for their independence, and colonization was all about taking control and the colonial master maintaining dominance</w:t>
      </w:r>
      <w:r w:rsidR="000F3799">
        <w:t xml:space="preserve"> (Conway, </w:t>
      </w:r>
      <w:r w:rsidRPr="000F3799" w:rsidR="000F3799">
        <w:t>2000). </w:t>
      </w:r>
      <w:r w:rsidR="00131A48">
        <w:t>Three of the ways in which the colonies were denied e</w:t>
      </w:r>
      <w:r w:rsidR="003E7434">
        <w:t>quality and freedom was through unrepresentation in t</w:t>
      </w:r>
      <w:r w:rsidR="00034C68">
        <w:t xml:space="preserve">he British Parliament, the imposition of the Stamp Act without the </w:t>
      </w:r>
      <w:r w:rsidR="000D5F45">
        <w:t>consent of the colonies and the imposition of the Intolerable Acts.</w:t>
      </w:r>
    </w:p>
    <w:p w:rsidR="000D5F45" w:rsidP="00444450">
      <w:pPr>
        <w:ind w:firstLine="720"/>
        <w:jc w:val="both"/>
      </w:pPr>
      <w:r>
        <w:t xml:space="preserve">The failure to represent the colonies in the House of Colonies was a means of denying the colonies equality and freedom. If the colonies had been represented in the British Parliament, </w:t>
      </w:r>
      <w:r w:rsidR="00EA0BCD">
        <w:t>there would have been the formulation of laws and policies that addressed their issues. However, the British Government ensured that there are not directly represented to pass laws that were oppressive and violated their freedom, as a means of maintaining control. Instead of electing an individual to represent their interests in the House of Commons, the colonies were virtually represented</w:t>
      </w:r>
      <w:r w:rsidRPr="00444450" w:rsidR="00444450">
        <w:t xml:space="preserve"> </w:t>
      </w:r>
      <w:r w:rsidR="00444450">
        <w:t>(Hamburger, 1992)</w:t>
      </w:r>
      <w:r w:rsidR="00EA0BCD">
        <w:t>. Through the virtual representations, the lawmakers from the colonies were required to represent the interests of the Britain Government and not that of their area, hence inequality.</w:t>
      </w:r>
    </w:p>
    <w:p w:rsidR="00EA0BCD" w:rsidP="00444450">
      <w:pPr>
        <w:ind w:firstLine="720"/>
        <w:jc w:val="both"/>
      </w:pPr>
      <w:r>
        <w:t xml:space="preserve">The imposition of direct taxes </w:t>
      </w:r>
      <w:r w:rsidR="00444450">
        <w:t xml:space="preserve">through Stamp Act to </w:t>
      </w:r>
      <w:r>
        <w:t>all colo</w:t>
      </w:r>
      <w:r w:rsidR="006F754D">
        <w:t xml:space="preserve">nies without representation in the House of Commons and their consent was a violation of their rights in enlightenment, and denial of their freedom, hence leading to the colonial resistance. The Stamp Act acted to impose taxes on all documents </w:t>
      </w:r>
      <w:r w:rsidR="00146D6B">
        <w:t xml:space="preserve">used by the colonies, including the trade documents </w:t>
      </w:r>
      <w:r w:rsidR="00146D6B">
        <w:t>and court documents. Besides, the tax was required to be paid in British sterling, which was hard to obtain.
</w:t>
      </w:r>
    </w:p>
    <w:p w:rsidR="00146D6B" w:rsidP="00444450">
      <w:pPr>
        <w:ind w:firstLine="720"/>
        <w:jc w:val="both"/>
      </w:pPr>
      <w:r>
        <w:t>The colonists were also denied equality and freedom through Coercive Acts, which was also called Intolerable Acts</w:t>
      </w:r>
      <w:r w:rsidR="00C15B3A">
        <w:t xml:space="preserve">. The British Government passed intolerable Acts as a means of punishing the colonies for the Boston Tea Party, </w:t>
      </w:r>
      <w:r w:rsidR="00C35299">
        <w:t>a protest that resulted in the dumping of 342 chests of Britain tea</w:t>
      </w:r>
      <w:r w:rsidRPr="00444450" w:rsidR="00444450">
        <w:t xml:space="preserve"> </w:t>
      </w:r>
      <w:r w:rsidR="00444450">
        <w:t xml:space="preserve">(Bailyn, </w:t>
      </w:r>
      <w:r w:rsidRPr="00444450" w:rsidR="00444450">
        <w:t>2011). </w:t>
      </w:r>
      <w:r w:rsidR="00C35299">
        <w:t xml:space="preserve">This was one of the most deviance acts of colonists during the revolutionary period. Boston Port Act, which was one of the five acts was meant to close the port of Boston until the colonies pay for the destroyed tea adversely affected the economy of the colonies, and denied their navigation after the closure. The Massachusetts Government Act took away the </w:t>
      </w:r>
      <w:r w:rsidR="00444450">
        <w:t>Massachusetts</w:t>
      </w:r>
      <w:r w:rsidR="00C35299">
        <w:t xml:space="preserve"> charter, bringing the city under British Government control; hence, colonies could no longer meet in Massachusetts, which was a violation of the right of expression and association. Administration of Justice Act allowed to trial to be done in Britain, thus making it hard for witnesses to testify, which denied the colonies justice</w:t>
      </w:r>
      <w:r w:rsidR="00EA19C0">
        <w:t>. This Acts violated the rights of the colonies, both natural and constitution,</w:t>
      </w:r>
      <w:r w:rsidR="00444450">
        <w:t xml:space="preserve"> </w:t>
      </w:r>
      <w:r w:rsidR="00EA19C0">
        <w:t xml:space="preserve">inhibiting freedom, and </w:t>
      </w:r>
      <w:r w:rsidR="00444450">
        <w:t>promoting</w:t>
      </w:r>
      <w:r w:rsidR="00EA19C0">
        <w:t xml:space="preserve"> inequality.</w:t>
      </w:r>
    </w:p>
    <w:p w:rsidR="00EA19C0" w:rsidP="000F3799">
      <w:pPr>
        <w:jc w:val="both"/>
      </w:pPr>
    </w:p>
    <w:p w:rsidR="00EA19C0" w:rsidP="000F3799">
      <w:pPr>
        <w:jc w:val="both"/>
      </w:pPr>
    </w:p>
    <w:p w:rsidR="00EA19C0" w:rsidP="000F3799">
      <w:pPr>
        <w:jc w:val="both"/>
      </w:pPr>
    </w:p>
    <w:p w:rsidR="00EA19C0" w:rsidP="000F3799">
      <w:pPr>
        <w:jc w:val="both"/>
      </w:pPr>
    </w:p>
    <w:p w:rsidR="00EA19C0" w:rsidP="000F3799">
      <w:pPr>
        <w:jc w:val="both"/>
      </w:pPr>
    </w:p>
    <w:p w:rsidR="00EA19C0" w:rsidP="000F3799">
      <w:pPr>
        <w:jc w:val="both"/>
      </w:pPr>
    </w:p>
    <w:p w:rsidR="00EA19C0" w:rsidP="000F3799">
      <w:pPr>
        <w:jc w:val="both"/>
      </w:pPr>
    </w:p>
    <w:p w:rsidR="00EA19C0" w:rsidP="000F3799">
      <w:pPr>
        <w:jc w:val="both"/>
      </w:pPr>
    </w:p>
    <w:p w:rsidR="00EA19C0" w:rsidP="000F3799">
      <w:pPr>
        <w:jc w:val="both"/>
      </w:pPr>
    </w:p>
    <w:p w:rsidR="00444450" w:rsidP="00444450">
      <w:pPr>
        <w:ind w:left="720" w:hanging="720"/>
        <w:jc w:val="center"/>
      </w:pPr>
      <w:r>
        <w:t>References</w:t>
      </w:r>
    </w:p>
    <w:p w:rsidR="000D5F45" w:rsidP="00444450">
      <w:pPr>
        <w:ind w:left="720" w:hanging="720"/>
        <w:jc w:val="both"/>
      </w:pPr>
      <w:r w:rsidRPr="00EA19C0">
        <w:t xml:space="preserve">Hamburger, P. A., (1992). Natural rights, natural law, and American constitutions. </w:t>
      </w:r>
      <w:r w:rsidRPr="00EA19C0">
        <w:rPr>
          <w:i/>
          <w:iCs/>
        </w:rPr>
        <w:t>Yale LJ</w:t>
      </w:r>
      <w:r w:rsidRPr="00EA19C0">
        <w:t>, </w:t>
      </w:r>
      <w:r w:rsidRPr="00EA19C0">
        <w:rPr>
          <w:i/>
          <w:iCs/>
        </w:rPr>
        <w:t>102</w:t>
      </w:r>
      <w:r w:rsidRPr="00EA19C0">
        <w:t>, 907.</w:t>
      </w:r>
    </w:p>
    <w:p w:rsidR="00EA19C0" w:rsidP="00444450">
      <w:pPr>
        <w:ind w:left="720" w:hanging="720"/>
        <w:jc w:val="both"/>
      </w:pPr>
      <w:r w:rsidRPr="00EA19C0">
        <w:t xml:space="preserve">Bailyn, B., (2011). </w:t>
      </w:r>
      <w:r w:rsidRPr="00EA19C0">
        <w:rPr>
          <w:i/>
          <w:iCs/>
        </w:rPr>
        <w:t>Faces of Revolution: Personalities &amp; Themes in the Struggle for American Independence</w:t>
      </w:r>
      <w:r w:rsidRPr="00EA19C0">
        <w:t>. Vintage.</w:t>
      </w:r>
    </w:p>
    <w:p w:rsidR="00EA19C0" w:rsidRPr="006747E4" w:rsidP="00444450">
      <w:pPr>
        <w:ind w:left="720" w:hanging="720"/>
        <w:jc w:val="both"/>
      </w:pPr>
      <w:r w:rsidRPr="00EA19C0">
        <w:t xml:space="preserve">Conway, S., (2000). </w:t>
      </w:r>
      <w:r w:rsidRPr="00EA19C0">
        <w:rPr>
          <w:i/>
          <w:iCs/>
        </w:rPr>
        <w:t>The British Isles and the War of American Independence</w:t>
      </w:r>
      <w:r w:rsidRPr="00EA19C0">
        <w:t>. OUP Oxford.</w:t>
      </w:r>
    </w:p>
    <w:sectPr w:rsidSect="0044445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97895"/>
      <w:docPartObj>
        <w:docPartGallery w:val="Page Numbers (Top of Page)"/>
        <w:docPartUnique/>
      </w:docPartObj>
    </w:sdtPr>
    <w:sdtContent>
      <w:p w:rsidR="00444450">
        <w:pPr>
          <w:pStyle w:val="Header"/>
          <w:jc w:val="right"/>
        </w:pPr>
        <w:r w:rsidRPr="00444450">
          <w:t>FREEDOM AND EQUALITY OF COLONIES</w:t>
        </w:r>
        <w:r>
          <w:t xml:space="preserve">                                                                         </w:t>
        </w:r>
        <w:r w:rsidRPr="00444450">
          <w:t xml:space="preserve"> </w:t>
        </w:r>
        <w:r>
          <w:fldChar w:fldCharType="begin"/>
        </w:r>
        <w:r>
          <w:instrText xml:space="preserve"> PAGE   \* MERGEFORMAT </w:instrText>
        </w:r>
        <w:r>
          <w:fldChar w:fldCharType="separate"/>
        </w:r>
        <w:r>
          <w:rPr>
            <w:noProof/>
          </w:rPr>
          <w:t>4</w:t>
        </w:r>
        <w:r>
          <w:rPr>
            <w:noProof/>
          </w:rPr>
          <w:fldChar w:fldCharType="end"/>
        </w:r>
      </w:p>
    </w:sdtContent>
  </w:sdt>
  <w:p w:rsidR="0044445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50">
    <w:pPr>
      <w:pStyle w:val="Header"/>
    </w:pPr>
    <w:r>
      <w:t>Running head: FREEDOM AND EQUALITY OF COLONIES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20"/>
  <w:displayHorizontalDrawingGridEvery w:val="2"/>
  <w:characterSpacingControl w:val="doNotCompress"/>
  <w:compat/>
  <w:rsids>
    <w:rsidRoot w:val="006747E4"/>
    <w:rsid w:val="00034C68"/>
    <w:rsid w:val="0005754D"/>
    <w:rsid w:val="000D5F45"/>
    <w:rsid w:val="000F3799"/>
    <w:rsid w:val="00131A48"/>
    <w:rsid w:val="00146D6B"/>
    <w:rsid w:val="002A549D"/>
    <w:rsid w:val="003E7434"/>
    <w:rsid w:val="00444450"/>
    <w:rsid w:val="00523EA9"/>
    <w:rsid w:val="006747E4"/>
    <w:rsid w:val="006F754D"/>
    <w:rsid w:val="00B2486C"/>
    <w:rsid w:val="00C115FC"/>
    <w:rsid w:val="00C15B3A"/>
    <w:rsid w:val="00C35299"/>
    <w:rsid w:val="00EA0BCD"/>
    <w:rsid w:val="00EA19C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F45"/>
    <w:pPr>
      <w:spacing w:after="0" w:line="480" w:lineRule="auto"/>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7E4"/>
    <w:pPr>
      <w:tabs>
        <w:tab w:val="center" w:pos="4680"/>
        <w:tab w:val="right" w:pos="9360"/>
      </w:tabs>
      <w:spacing w:line="240" w:lineRule="auto"/>
    </w:pPr>
  </w:style>
  <w:style w:type="character" w:customStyle="1" w:styleId="HeaderChar">
    <w:name w:val="Header Char"/>
    <w:basedOn w:val="DefaultParagraphFont"/>
    <w:link w:val="Header"/>
    <w:uiPriority w:val="99"/>
    <w:rsid w:val="006747E4"/>
    <w:rPr>
      <w:rFonts w:ascii="Times New Roman" w:hAnsi="Times New Roman"/>
      <w:sz w:val="24"/>
    </w:rPr>
  </w:style>
  <w:style w:type="paragraph" w:styleId="Footer">
    <w:name w:val="footer"/>
    <w:basedOn w:val="Normal"/>
    <w:link w:val="FooterChar"/>
    <w:uiPriority w:val="99"/>
    <w:semiHidden/>
    <w:unhideWhenUsed/>
    <w:rsid w:val="006747E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747E4"/>
    <w:rPr>
      <w:rFonts w:ascii="Times New Roman" w:hAnsi="Times New Roman"/>
      <w:sz w:val="24"/>
    </w:rPr>
  </w:style>
  <w:style w:type="paragraph" w:styleId="BalloonText">
    <w:name w:val="Balloon Text"/>
    <w:basedOn w:val="Normal"/>
    <w:link w:val="BalloonTextChar"/>
    <w:uiPriority w:val="99"/>
    <w:semiHidden/>
    <w:unhideWhenUsed/>
    <w:rsid w:val="006747E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7E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2</cp:revision>
  <dcterms:created xsi:type="dcterms:W3CDTF">2019-06-10T12:53:00Z</dcterms:created>
  <dcterms:modified xsi:type="dcterms:W3CDTF">2019-06-10T12:53:00Z</dcterms:modified>
</cp:coreProperties>
</file>